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C6B3" w14:textId="1900D213" w:rsidR="00EE19D9" w:rsidRDefault="00EE19D9" w:rsidP="00EE19D9">
      <w:pPr>
        <w:rPr>
          <w:b/>
          <w:bCs/>
        </w:rPr>
      </w:pPr>
      <w:r>
        <w:rPr>
          <w:b/>
          <w:bCs/>
        </w:rPr>
        <w:t>MEDIA INVESTMENT OPTIMIZATION, S.A.</w:t>
      </w:r>
    </w:p>
    <w:p w14:paraId="347104F7" w14:textId="109ED7FD" w:rsidR="00EE19D9" w:rsidRPr="00EE19D9" w:rsidRDefault="00EE19D9" w:rsidP="00EE19D9">
      <w:pPr>
        <w:rPr>
          <w:b/>
          <w:bCs/>
        </w:rPr>
      </w:pPr>
      <w:r w:rsidRPr="00EE19D9">
        <w:rPr>
          <w:b/>
          <w:bCs/>
        </w:rPr>
        <w:t>(SOCIEDAD ABSORBENTE)</w:t>
      </w:r>
    </w:p>
    <w:p w14:paraId="6ED85636" w14:textId="77777777" w:rsidR="00EE19D9" w:rsidRPr="00EE19D9" w:rsidRDefault="00EE19D9" w:rsidP="00EE19D9">
      <w:pPr>
        <w:rPr>
          <w:b/>
          <w:bCs/>
        </w:rPr>
      </w:pPr>
      <w:r w:rsidRPr="00EE19D9">
        <w:rPr>
          <w:b/>
          <w:bCs/>
        </w:rPr>
        <w:t>HASHTAG MEDIA GROUP, S.L.U.</w:t>
      </w:r>
    </w:p>
    <w:p w14:paraId="7C7057B0" w14:textId="77777777" w:rsidR="00EE19D9" w:rsidRPr="00EE19D9" w:rsidRDefault="00EE19D9" w:rsidP="00EE19D9">
      <w:pPr>
        <w:rPr>
          <w:b/>
          <w:bCs/>
        </w:rPr>
      </w:pPr>
      <w:r w:rsidRPr="00EE19D9">
        <w:rPr>
          <w:b/>
          <w:bCs/>
        </w:rPr>
        <w:t>MIO CONSULTING INTELIGENCIA DE NEGOCIO, S.L.U.</w:t>
      </w:r>
    </w:p>
    <w:p w14:paraId="7CE107B9" w14:textId="77777777" w:rsidR="00EE19D9" w:rsidRPr="00EE19D9" w:rsidRDefault="00EE19D9" w:rsidP="00EE19D9">
      <w:pPr>
        <w:rPr>
          <w:b/>
          <w:bCs/>
        </w:rPr>
      </w:pPr>
      <w:r w:rsidRPr="00EE19D9">
        <w:rPr>
          <w:b/>
          <w:bCs/>
        </w:rPr>
        <w:t>HASHTAG MEDIA GROUP LATAM, S.L.U.</w:t>
      </w:r>
    </w:p>
    <w:p w14:paraId="5FF25019" w14:textId="77777777" w:rsidR="00EE19D9" w:rsidRPr="00EE19D9" w:rsidRDefault="00EE19D9" w:rsidP="00EE19D9">
      <w:pPr>
        <w:rPr>
          <w:b/>
          <w:bCs/>
        </w:rPr>
      </w:pPr>
      <w:r w:rsidRPr="00EE19D9">
        <w:rPr>
          <w:b/>
          <w:bCs/>
        </w:rPr>
        <w:t>(SOCIEDADES ABSORBIDAS)</w:t>
      </w:r>
    </w:p>
    <w:p w14:paraId="6DF7ADB7" w14:textId="49A2AE70" w:rsidR="00EE19D9" w:rsidRPr="00EE19D9" w:rsidRDefault="00EE19D9" w:rsidP="00EE19D9">
      <w:pPr>
        <w:jc w:val="both"/>
      </w:pPr>
      <w:r w:rsidRPr="00EE19D9">
        <w:t xml:space="preserve">De conformidad con lo dispuesto en el artículo 10 del Real Decreto-Ley 5/2023, de 28 de junio, en materia de modificaciones estructurales ("Rdlme"), se hace público que el día </w:t>
      </w:r>
      <w:r>
        <w:t>29 de junio de 2026</w:t>
      </w:r>
      <w:r w:rsidRPr="00EE19D9">
        <w:t xml:space="preserve">, </w:t>
      </w:r>
      <w:r>
        <w:t>la Junta General de Accionistas</w:t>
      </w:r>
      <w:r w:rsidRPr="00EE19D9">
        <w:t xml:space="preserve"> de </w:t>
      </w:r>
      <w:r w:rsidRPr="00EE19D9">
        <w:rPr>
          <w:b/>
          <w:bCs/>
        </w:rPr>
        <w:t>MEDIA INVESTMENT OPTIMIZATION, S.A.</w:t>
      </w:r>
      <w:r w:rsidRPr="00EE19D9">
        <w:t xml:space="preserve"> (Sociedad Absorbente) y </w:t>
      </w:r>
      <w:r w:rsidR="00F46A17">
        <w:t>el socio único</w:t>
      </w:r>
      <w:r w:rsidRPr="00EE19D9">
        <w:t xml:space="preserve"> de </w:t>
      </w:r>
      <w:r w:rsidRPr="00EE19D9">
        <w:rPr>
          <w:b/>
          <w:bCs/>
        </w:rPr>
        <w:t>HASHTAG MEDIA GROUP, S.L.U., MIO CONSULTING INTELIGENCIA DE NEGOCIO, S.L.U. y HASHTAG MEDIA GROUP LATAM, S.L.U.</w:t>
      </w:r>
      <w:r w:rsidRPr="00EE19D9">
        <w:t xml:space="preserve"> (Sociedades Absorbidas), en el ejercicio de sus competencias en Junta General Extraordinaria</w:t>
      </w:r>
      <w:r>
        <w:t xml:space="preserve"> y Universal</w:t>
      </w:r>
      <w:r w:rsidR="00F46A17">
        <w:t xml:space="preserve"> de las Sociedades Absorbidas</w:t>
      </w:r>
      <w:r w:rsidRPr="00EE19D9">
        <w:t xml:space="preserve">, </w:t>
      </w:r>
      <w:r w:rsidR="0001773A">
        <w:t xml:space="preserve">han aprobado </w:t>
      </w:r>
      <w:r w:rsidR="0001773A" w:rsidRPr="0001773A">
        <w:t>por la mayoría legalmente preceptiva en la Junta General de la Sociedad Absorbente y por decisión del socio único de cada una de las Sociedades absorbidas</w:t>
      </w:r>
      <w:r w:rsidR="0001773A" w:rsidRPr="0001773A">
        <w:t xml:space="preserve"> </w:t>
      </w:r>
      <w:r w:rsidRPr="00EE19D9">
        <w:t xml:space="preserve">la fusión por absorción por parte de </w:t>
      </w:r>
      <w:r w:rsidRPr="00EE19D9">
        <w:rPr>
          <w:b/>
          <w:bCs/>
        </w:rPr>
        <w:t>MEDIA INVESTMENT OPTIMIZATION, S.A.</w:t>
      </w:r>
      <w:r w:rsidRPr="00EE19D9">
        <w:t xml:space="preserve"> (Sociedad Absorbente; en adelante, la </w:t>
      </w:r>
      <w:r w:rsidRPr="00EE19D9">
        <w:rPr>
          <w:b/>
          <w:bCs/>
        </w:rPr>
        <w:t>Sociedad Absorbente</w:t>
      </w:r>
      <w:r w:rsidRPr="00EE19D9">
        <w:t xml:space="preserve">) de las sociedades íntegramente participadas </w:t>
      </w:r>
      <w:r w:rsidRPr="00EE19D9">
        <w:rPr>
          <w:b/>
          <w:bCs/>
        </w:rPr>
        <w:t>HASHTAG MEDIA GROUP, S.L.U., MIO CONSULTING INTELIGENCIA DE NEGOCIO, S.L.U. y HASHTAG MEDIA GROUP LATAM, S.L.U.</w:t>
      </w:r>
      <w:r w:rsidRPr="00EE19D9">
        <w:t xml:space="preserve"> (las </w:t>
      </w:r>
      <w:r w:rsidRPr="00EE19D9">
        <w:rPr>
          <w:b/>
          <w:bCs/>
        </w:rPr>
        <w:t>Sociedades Absorbidas</w:t>
      </w:r>
      <w:r w:rsidRPr="00EE19D9">
        <w:t xml:space="preserve">) sobre la base del proyecto común de fusión de fecha </w:t>
      </w:r>
      <w:r w:rsidR="00F46A17">
        <w:t>22 de mayo de 2026</w:t>
      </w:r>
      <w:r w:rsidRPr="00EE19D9">
        <w:t xml:space="preserve"> con disolución sin liquidación de las </w:t>
      </w:r>
      <w:r w:rsidR="0001773A">
        <w:t>S</w:t>
      </w:r>
      <w:r w:rsidRPr="00EE19D9">
        <w:t xml:space="preserve">ociedades </w:t>
      </w:r>
      <w:r w:rsidR="0001773A">
        <w:t>A</w:t>
      </w:r>
      <w:r w:rsidRPr="00EE19D9">
        <w:t xml:space="preserve">bsorbidas, y adquisición por sucesión universal de su patrimonio por la </w:t>
      </w:r>
      <w:r w:rsidR="0001773A">
        <w:t>S</w:t>
      </w:r>
      <w:r w:rsidRPr="00EE19D9">
        <w:t xml:space="preserve">ociedad </w:t>
      </w:r>
      <w:r w:rsidR="0001773A">
        <w:t>A</w:t>
      </w:r>
      <w:r w:rsidRPr="00EE19D9">
        <w:t>bsorbente.</w:t>
      </w:r>
    </w:p>
    <w:p w14:paraId="51D02F21" w14:textId="3A5FB406" w:rsidR="00EE19D9" w:rsidRPr="00EE19D9" w:rsidRDefault="00EE19D9" w:rsidP="00EE19D9">
      <w:pPr>
        <w:jc w:val="both"/>
      </w:pPr>
      <w:r w:rsidRPr="00EE19D9">
        <w:t xml:space="preserve">La decisión </w:t>
      </w:r>
      <w:r w:rsidRPr="00F44D8E">
        <w:t xml:space="preserve">de fusión ha sido adoptada, conforme al proyecto común de fusión redactado por los órganos de administración de las sociedades intervinientes en la fusión, con fecha </w:t>
      </w:r>
      <w:r w:rsidR="00F46A17" w:rsidRPr="00F44D8E">
        <w:t>29 de junio de 2026</w:t>
      </w:r>
      <w:r w:rsidRPr="00F44D8E">
        <w:t>, y la fusión se realiza de conformidad con lo previsto en el artículo 53 del Rdlme al</w:t>
      </w:r>
      <w:r w:rsidRPr="00EE19D9">
        <w:t xml:space="preserve"> tratarse de una fusión por absorción en la que la </w:t>
      </w:r>
      <w:r w:rsidR="0001773A">
        <w:t>S</w:t>
      </w:r>
      <w:r w:rsidRPr="00EE19D9">
        <w:t xml:space="preserve">ociedad </w:t>
      </w:r>
      <w:r w:rsidR="0001773A">
        <w:t>A</w:t>
      </w:r>
      <w:r w:rsidRPr="00EE19D9">
        <w:t>bsorbente es titular de forma directa de todas las participaciones sociales en que se divide el capital de las sociedades absorbidas.</w:t>
      </w:r>
    </w:p>
    <w:p w14:paraId="3AACE353" w14:textId="77777777" w:rsidR="00EE19D9" w:rsidRPr="00EE19D9" w:rsidRDefault="00EE19D9" w:rsidP="00EE19D9">
      <w:pPr>
        <w:jc w:val="both"/>
      </w:pPr>
      <w:r w:rsidRPr="00F46A17">
        <w:t>En consecuencia, no resulta necesaria para esta fusión (i) la inclusión en el Proyecto de fusión de las menciones 3, 5, 6 y 7 del artículo 40 del Rdlme (ii) los informes de Administradores y expertos sobre el Proyecto de fusión (iii) el aumento de capital de la Sociedad Absorbente, y (iv) la aprobación de la fusión por la Junta General de las sociedades absorbidas.</w:t>
      </w:r>
    </w:p>
    <w:p w14:paraId="1599B4EE" w14:textId="6A5579A2" w:rsidR="00EE19D9" w:rsidRPr="00EE19D9" w:rsidRDefault="00EE19D9" w:rsidP="00EE19D9">
      <w:pPr>
        <w:jc w:val="both"/>
      </w:pPr>
      <w:r w:rsidRPr="00EE19D9">
        <w:t xml:space="preserve">Habiéndose adoptado las decisiones (acuerdos) de fusión por las sociedades intervinientes en la fusión por decisión de sus socios, </w:t>
      </w:r>
      <w:r w:rsidR="00A8737F">
        <w:t xml:space="preserve">a través del acuerdo de la Junta General de accionistas de la Sociedad Absorbente y </w:t>
      </w:r>
      <w:r w:rsidR="00F46A17">
        <w:t>del socio único</w:t>
      </w:r>
      <w:r w:rsidR="00A8737F">
        <w:t xml:space="preserve"> </w:t>
      </w:r>
      <w:r w:rsidRPr="00EE19D9">
        <w:t>ejerciendo las facultades de la Junta General</w:t>
      </w:r>
      <w:r w:rsidR="00A8737F">
        <w:t xml:space="preserve"> en las Sociedades Absorbidas</w:t>
      </w:r>
      <w:r w:rsidRPr="00EE19D9">
        <w:t xml:space="preserve">, resulta que las decisiones </w:t>
      </w:r>
      <w:r w:rsidRPr="00EE19D9">
        <w:lastRenderedPageBreak/>
        <w:t xml:space="preserve">(acuerdos) de fusión se adoptaron </w:t>
      </w:r>
      <w:r w:rsidR="00A8737F">
        <w:t xml:space="preserve">por la </w:t>
      </w:r>
      <w:r w:rsidR="00F46A17">
        <w:t xml:space="preserve">mayoría legalmente preceptiva en la Junta General de la Sociedad Absorbente </w:t>
      </w:r>
      <w:r w:rsidRPr="00EE19D9">
        <w:t xml:space="preserve">y por </w:t>
      </w:r>
      <w:r w:rsidR="00F46A17">
        <w:t>decisión</w:t>
      </w:r>
      <w:r w:rsidRPr="00EE19D9">
        <w:t xml:space="preserve"> del socio único de cada una de las </w:t>
      </w:r>
      <w:r w:rsidR="00F46A17">
        <w:t xml:space="preserve">Sociedades </w:t>
      </w:r>
      <w:r w:rsidR="0001773A">
        <w:t>A</w:t>
      </w:r>
      <w:r w:rsidR="00F46A17">
        <w:t>bsorbidas</w:t>
      </w:r>
      <w:r w:rsidRPr="00EE19D9">
        <w:t>, y, en consecuencia, de acuerdo con lo preceptuado en los artículos 53 y 5</w:t>
      </w:r>
      <w:r w:rsidR="00F44D8E">
        <w:t>5</w:t>
      </w:r>
      <w:r w:rsidRPr="00EE19D9">
        <w:t xml:space="preserve"> del Rdlme, la decisión (acuerdo) de fusión puede adoptarse sin necesidad de publicar o depositar previamente los documentos exigidos por la Ley y sin informe de los Administradores sobre el proyecto de fusión.</w:t>
      </w:r>
    </w:p>
    <w:p w14:paraId="44BED6C4" w14:textId="754C584A" w:rsidR="00EE19D9" w:rsidRDefault="00EE19D9" w:rsidP="00EE19D9">
      <w:r w:rsidRPr="00EE19D9">
        <w:t xml:space="preserve">Conforme a lo establecido en el artículo 10 del Rdlme, se hace constar expresamente el derecho que asiste a los socios y acreedores de las respectivas sociedades a obtener el texto íntegro de las decisiones adoptadas y el Balance de fusión presentado. </w:t>
      </w:r>
    </w:p>
    <w:p w14:paraId="24E707F2" w14:textId="77777777" w:rsidR="00F46A17" w:rsidRDefault="00F46A17" w:rsidP="00EE19D9"/>
    <w:p w14:paraId="5B6A1B3A" w14:textId="4188214C" w:rsidR="00F44D8E" w:rsidRPr="00F44D8E" w:rsidRDefault="00F44D8E" w:rsidP="00EE19D9">
      <w:pPr>
        <w:rPr>
          <w:b/>
          <w:bCs/>
        </w:rPr>
      </w:pPr>
      <w:r>
        <w:rPr>
          <w:b/>
          <w:bCs/>
        </w:rPr>
        <w:t xml:space="preserve">Fdo.- </w:t>
      </w:r>
      <w:r w:rsidRPr="00F44D8E">
        <w:rPr>
          <w:b/>
          <w:bCs/>
        </w:rPr>
        <w:t>Yago Gonzalo Arbeloa Coca</w:t>
      </w:r>
    </w:p>
    <w:p w14:paraId="684201E8" w14:textId="3313D2FC" w:rsidR="00EE19D9" w:rsidRPr="00EE19D9" w:rsidRDefault="00EE19D9" w:rsidP="00EE19D9">
      <w:pPr>
        <w:jc w:val="both"/>
      </w:pPr>
      <w:proofErr w:type="gramStart"/>
      <w:r>
        <w:rPr>
          <w:b/>
          <w:bCs/>
        </w:rPr>
        <w:t>Madrid  29</w:t>
      </w:r>
      <w:proofErr w:type="gramEnd"/>
      <w:r>
        <w:rPr>
          <w:b/>
          <w:bCs/>
        </w:rPr>
        <w:t xml:space="preserve"> de junio de 2026</w:t>
      </w:r>
      <w:r w:rsidRPr="00EE19D9">
        <w:rPr>
          <w:b/>
          <w:bCs/>
        </w:rPr>
        <w:t xml:space="preserve">.- El Administrador </w:t>
      </w:r>
      <w:r w:rsidR="0001773A">
        <w:rPr>
          <w:b/>
          <w:bCs/>
        </w:rPr>
        <w:t>ú</w:t>
      </w:r>
      <w:r w:rsidRPr="00EE19D9">
        <w:rPr>
          <w:b/>
          <w:bCs/>
        </w:rPr>
        <w:t xml:space="preserve">nico de MEDIA INVESTMENT OPTIMIZATION, S.A., </w:t>
      </w:r>
      <w:r w:rsidR="0001773A">
        <w:rPr>
          <w:b/>
          <w:bCs/>
        </w:rPr>
        <w:t xml:space="preserve">el representante persona física del Administrador único </w:t>
      </w:r>
      <w:r w:rsidRPr="00EE19D9">
        <w:rPr>
          <w:b/>
          <w:bCs/>
        </w:rPr>
        <w:t xml:space="preserve">de HASHTAG MEDIA GROUP, S.L.U., </w:t>
      </w:r>
      <w:r w:rsidR="0001773A" w:rsidRPr="0001773A">
        <w:rPr>
          <w:b/>
          <w:bCs/>
        </w:rPr>
        <w:t xml:space="preserve">el representante persona física del </w:t>
      </w:r>
      <w:r w:rsidR="0001773A">
        <w:rPr>
          <w:b/>
          <w:bCs/>
        </w:rPr>
        <w:t>A</w:t>
      </w:r>
      <w:r w:rsidR="0001773A" w:rsidRPr="0001773A">
        <w:rPr>
          <w:b/>
          <w:bCs/>
        </w:rPr>
        <w:t>dministrador único de</w:t>
      </w:r>
      <w:r w:rsidRPr="00EE19D9">
        <w:rPr>
          <w:b/>
          <w:bCs/>
        </w:rPr>
        <w:t xml:space="preserve"> MIO CONSULTING INTELIGENCIA DE NEGOCIO, S.L.U. y </w:t>
      </w:r>
      <w:r w:rsidR="0001773A">
        <w:rPr>
          <w:b/>
          <w:bCs/>
        </w:rPr>
        <w:t xml:space="preserve">el Administrador único </w:t>
      </w:r>
      <w:r w:rsidRPr="00EE19D9">
        <w:rPr>
          <w:b/>
          <w:bCs/>
        </w:rPr>
        <w:t xml:space="preserve">de HASHTAG MEDIA GROUP LATAM, S.L.U. </w:t>
      </w:r>
    </w:p>
    <w:p w14:paraId="44B57E80" w14:textId="77777777" w:rsidR="00EE19D9" w:rsidRDefault="00EE19D9"/>
    <w:sectPr w:rsidR="00EE1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D9"/>
    <w:rsid w:val="0001773A"/>
    <w:rsid w:val="008E73A5"/>
    <w:rsid w:val="00955D9F"/>
    <w:rsid w:val="00A6421B"/>
    <w:rsid w:val="00A8737F"/>
    <w:rsid w:val="00EE19D9"/>
    <w:rsid w:val="00F44D8E"/>
    <w:rsid w:val="00F46A17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B5E5"/>
  <w15:chartTrackingRefBased/>
  <w15:docId w15:val="{C2EF1B3F-BB1F-489C-B638-C8D0CCE7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1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9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19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1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19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9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9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Álvarez</dc:creator>
  <cp:keywords/>
  <dc:description/>
  <cp:lastModifiedBy>Jacobo Álvarez</cp:lastModifiedBy>
  <cp:revision>5</cp:revision>
  <dcterms:created xsi:type="dcterms:W3CDTF">2026-06-26T08:34:00Z</dcterms:created>
  <dcterms:modified xsi:type="dcterms:W3CDTF">2026-06-29T09:57:00Z</dcterms:modified>
</cp:coreProperties>
</file>